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caps w:val="false"/>
          <w:smallCaps w:val="false"/>
          <w:color w:val="333333"/>
          <w:spacing w:val="0"/>
        </w:rPr>
        <w:t xml:space="preserve"> 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4"/>
        </w:rPr>
        <w:t>Калькуляция по услуге "содержание и ремонт жилого помещения"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 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7,03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0,73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1,01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11,19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17,17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 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6,30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9,42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9,42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0,94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10,36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16,34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6,30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0,93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12,43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26" w:hRule="atLeast"/>
          <w:cantSplit w:val="false"/>
        </w:trPr>
        <w:tc>
          <w:tcPr>
            <w:tcW w:w="84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для ж/д. ул. Вл. Невского, 10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6,80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0,80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1,36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3,51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1,64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0,46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9,81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9,81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0,98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10,79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16,77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6206"/>
        <w:gridCol w:w="1316"/>
        <w:gridCol w:w="79"/>
      </w:tblGrid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с 1 июля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407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для ж/д Беговая, 223в </w:t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5,27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1,41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2,69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1,72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МУП "МИВЦ"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Сбербанк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0,48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дымоходов и вентканалов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0,27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Содержание лифтового хозяйства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0,32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Аренда помещения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0,28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0,06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8,39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8,39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0,84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9,23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3,49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0,25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2,24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4"/>
              </w:rPr>
              <w:t>15,21</w:t>
            </w:r>
          </w:p>
        </w:tc>
        <w:tc>
          <w:tcPr>
            <w:tcW w:w="79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